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CE704A" w14:textId="4BC6A2F8" w:rsidR="00D46332" w:rsidRDefault="00F71CDA" w:rsidP="00E073A9">
      <w:pPr>
        <w:jc w:val="center"/>
        <w:rPr>
          <w:b/>
        </w:rPr>
      </w:pPr>
      <w:r w:rsidRPr="00D1674B">
        <w:rPr>
          <w:b/>
        </w:rPr>
        <w:t xml:space="preserve">Africa </w:t>
      </w:r>
      <w:r w:rsidR="00BE01FA" w:rsidRPr="00D1674B">
        <w:rPr>
          <w:b/>
        </w:rPr>
        <w:t>RISING</w:t>
      </w:r>
      <w:r w:rsidR="00BE01FA">
        <w:rPr>
          <w:b/>
        </w:rPr>
        <w:t xml:space="preserve">: </w:t>
      </w:r>
      <w:r w:rsidRPr="00D1674B">
        <w:rPr>
          <w:b/>
        </w:rPr>
        <w:t>Science Advisory Group Discussion Summary</w:t>
      </w:r>
      <w:r w:rsidR="00D3780C">
        <w:rPr>
          <w:b/>
        </w:rPr>
        <w:t xml:space="preserve"> </w:t>
      </w:r>
      <w:r w:rsidR="001F6DC1">
        <w:rPr>
          <w:b/>
        </w:rPr>
        <w:br/>
      </w:r>
      <w:r w:rsidR="00D3780C">
        <w:rPr>
          <w:b/>
        </w:rPr>
        <w:t>(</w:t>
      </w:r>
      <w:r w:rsidR="001F6DC1">
        <w:rPr>
          <w:b/>
        </w:rPr>
        <w:t xml:space="preserve">Arusha, Tanzania, </w:t>
      </w:r>
      <w:r w:rsidR="00D3780C">
        <w:rPr>
          <w:b/>
        </w:rPr>
        <w:t>23</w:t>
      </w:r>
      <w:r w:rsidR="00D3780C" w:rsidRPr="00E073A9">
        <w:rPr>
          <w:b/>
          <w:vertAlign w:val="superscript"/>
        </w:rPr>
        <w:t>rd</w:t>
      </w:r>
      <w:r w:rsidR="00D3780C">
        <w:rPr>
          <w:b/>
        </w:rPr>
        <w:t xml:space="preserve"> June 2017)</w:t>
      </w:r>
    </w:p>
    <w:p w14:paraId="798B4563" w14:textId="77777777" w:rsidR="00BE01FA" w:rsidRDefault="00BE01FA" w:rsidP="00E073A9">
      <w:pPr>
        <w:rPr>
          <w:b/>
        </w:rPr>
      </w:pPr>
    </w:p>
    <w:tbl>
      <w:tblPr>
        <w:tblStyle w:val="TableGrid"/>
        <w:tblW w:w="0" w:type="auto"/>
        <w:tblInd w:w="108" w:type="dxa"/>
        <w:tblLook w:val="04A0" w:firstRow="1" w:lastRow="0" w:firstColumn="1" w:lastColumn="0" w:noHBand="0" w:noVBand="1"/>
      </w:tblPr>
      <w:tblGrid>
        <w:gridCol w:w="8748"/>
      </w:tblGrid>
      <w:tr w:rsidR="00BE01FA" w:rsidRPr="001428ED" w14:paraId="20FB36CD" w14:textId="77777777" w:rsidTr="001428ED">
        <w:trPr>
          <w:trHeight w:val="1845"/>
        </w:trPr>
        <w:tc>
          <w:tcPr>
            <w:tcW w:w="9134" w:type="dxa"/>
            <w:tcBorders>
              <w:top w:val="single" w:sz="4" w:space="0" w:color="auto"/>
              <w:left w:val="single" w:sz="4" w:space="0" w:color="auto"/>
              <w:bottom w:val="single" w:sz="4" w:space="0" w:color="auto"/>
              <w:right w:val="single" w:sz="4" w:space="0" w:color="auto"/>
            </w:tcBorders>
            <w:hideMark/>
          </w:tcPr>
          <w:p w14:paraId="22D2A3ED" w14:textId="77777777" w:rsidR="00BE01FA" w:rsidRPr="00880FE3" w:rsidRDefault="00BE01FA">
            <w:pPr>
              <w:rPr>
                <w:rFonts w:eastAsia="Times New Roman" w:cstheme="minorHAnsi"/>
                <w:b/>
                <w:sz w:val="24"/>
                <w:lang w:eastAsia="en-GB"/>
              </w:rPr>
            </w:pPr>
            <w:r w:rsidRPr="00880FE3">
              <w:rPr>
                <w:rFonts w:eastAsia="Times New Roman" w:cstheme="minorHAnsi"/>
                <w:b/>
                <w:sz w:val="24"/>
                <w:lang w:eastAsia="en-GB"/>
              </w:rPr>
              <w:t>SAG members</w:t>
            </w:r>
          </w:p>
          <w:p w14:paraId="05E786EE" w14:textId="77777777" w:rsidR="00BE01FA" w:rsidRPr="00880FE3" w:rsidRDefault="00BE01FA" w:rsidP="00BE01FA">
            <w:pPr>
              <w:numPr>
                <w:ilvl w:val="1"/>
                <w:numId w:val="2"/>
              </w:numPr>
              <w:spacing w:after="100" w:afterAutospacing="1"/>
              <w:ind w:left="261" w:hanging="261"/>
              <w:rPr>
                <w:rFonts w:eastAsia="Times New Roman" w:cstheme="minorHAnsi"/>
                <w:sz w:val="24"/>
                <w:lang w:eastAsia="en-GB"/>
              </w:rPr>
            </w:pPr>
            <w:r w:rsidRPr="00880FE3">
              <w:rPr>
                <w:rFonts w:eastAsia="Times New Roman" w:cstheme="minorHAnsi"/>
                <w:sz w:val="24"/>
                <w:lang w:eastAsia="en-GB"/>
              </w:rPr>
              <w:t>Moses Tenywa, Makerere University, Uganda</w:t>
            </w:r>
          </w:p>
          <w:p w14:paraId="1E30050C" w14:textId="74953FE9" w:rsidR="00BE01FA" w:rsidRPr="00880FE3" w:rsidRDefault="00BE01FA" w:rsidP="00BE01FA">
            <w:pPr>
              <w:numPr>
                <w:ilvl w:val="1"/>
                <w:numId w:val="2"/>
              </w:numPr>
              <w:spacing w:before="100" w:beforeAutospacing="1" w:after="100" w:afterAutospacing="1"/>
              <w:ind w:left="261" w:hanging="261"/>
              <w:rPr>
                <w:rFonts w:eastAsia="Times New Roman" w:cstheme="minorHAnsi"/>
                <w:sz w:val="24"/>
                <w:lang w:eastAsia="en-GB"/>
              </w:rPr>
            </w:pPr>
            <w:r w:rsidRPr="00880FE3">
              <w:rPr>
                <w:rFonts w:eastAsia="Times New Roman" w:cstheme="minorHAnsi"/>
                <w:sz w:val="24"/>
                <w:lang w:eastAsia="en-GB"/>
              </w:rPr>
              <w:t>Colettah Chitsike, Zimbabwe (apologies for absence)</w:t>
            </w:r>
          </w:p>
          <w:p w14:paraId="333E53C2" w14:textId="23F8B69A" w:rsidR="00BE01FA" w:rsidRPr="00880FE3" w:rsidRDefault="00BE01FA" w:rsidP="00BE01FA">
            <w:pPr>
              <w:numPr>
                <w:ilvl w:val="1"/>
                <w:numId w:val="2"/>
              </w:numPr>
              <w:spacing w:before="100" w:beforeAutospacing="1" w:after="100" w:afterAutospacing="1"/>
              <w:ind w:left="261" w:hanging="261"/>
              <w:rPr>
                <w:rFonts w:eastAsia="Times New Roman" w:cstheme="minorHAnsi"/>
                <w:sz w:val="24"/>
                <w:lang w:eastAsia="en-GB"/>
              </w:rPr>
            </w:pPr>
            <w:r w:rsidRPr="00880FE3">
              <w:rPr>
                <w:rFonts w:eastAsia="Times New Roman" w:cstheme="minorHAnsi"/>
                <w:sz w:val="24"/>
                <w:lang w:eastAsia="en-GB"/>
              </w:rPr>
              <w:t>Jim Ellis-Jones, UK (</w:t>
            </w:r>
            <w:r w:rsidR="006C297C" w:rsidRPr="00880FE3">
              <w:rPr>
                <w:rFonts w:eastAsia="Times New Roman" w:cstheme="minorHAnsi"/>
                <w:sz w:val="24"/>
                <w:lang w:eastAsia="en-GB"/>
              </w:rPr>
              <w:t>e</w:t>
            </w:r>
            <w:r w:rsidRPr="00880FE3">
              <w:rPr>
                <w:rFonts w:eastAsia="Times New Roman" w:cstheme="minorHAnsi"/>
                <w:sz w:val="24"/>
                <w:lang w:eastAsia="en-GB"/>
              </w:rPr>
              <w:t>lected Chair)</w:t>
            </w:r>
          </w:p>
          <w:p w14:paraId="79200E5E" w14:textId="77777777" w:rsidR="00BE01FA" w:rsidRPr="00880FE3" w:rsidRDefault="00BE01FA" w:rsidP="00BE01FA">
            <w:pPr>
              <w:numPr>
                <w:ilvl w:val="1"/>
                <w:numId w:val="2"/>
              </w:numPr>
              <w:spacing w:before="100" w:beforeAutospacing="1" w:after="100" w:afterAutospacing="1"/>
              <w:ind w:left="261" w:hanging="261"/>
              <w:rPr>
                <w:rFonts w:eastAsia="Times New Roman" w:cstheme="minorHAnsi"/>
                <w:sz w:val="24"/>
                <w:lang w:eastAsia="en-GB"/>
              </w:rPr>
            </w:pPr>
            <w:r w:rsidRPr="00880FE3">
              <w:rPr>
                <w:rFonts w:eastAsia="Times New Roman" w:cstheme="minorHAnsi"/>
                <w:sz w:val="24"/>
                <w:lang w:eastAsia="en-GB"/>
              </w:rPr>
              <w:t>Eva Weltzien-Rattunde, University of Wisconsin-Madison, USA</w:t>
            </w:r>
          </w:p>
          <w:p w14:paraId="5DD424A2" w14:textId="77777777" w:rsidR="00BE01FA" w:rsidRPr="00880FE3" w:rsidRDefault="00BE01FA" w:rsidP="00BE01FA">
            <w:pPr>
              <w:numPr>
                <w:ilvl w:val="1"/>
                <w:numId w:val="2"/>
              </w:numPr>
              <w:spacing w:before="100" w:beforeAutospacing="1" w:after="100" w:afterAutospacing="1"/>
              <w:ind w:left="261" w:hanging="261"/>
              <w:rPr>
                <w:rFonts w:eastAsia="Times New Roman" w:cstheme="minorHAnsi"/>
                <w:sz w:val="24"/>
                <w:lang w:eastAsia="en-GB"/>
              </w:rPr>
            </w:pPr>
            <w:r w:rsidRPr="00880FE3">
              <w:rPr>
                <w:rFonts w:eastAsia="Times New Roman" w:cstheme="minorHAnsi"/>
                <w:sz w:val="24"/>
                <w:lang w:eastAsia="en-GB"/>
              </w:rPr>
              <w:t>Nancy McCarthy, LEAD Analytics, Inc. USA</w:t>
            </w:r>
          </w:p>
          <w:p w14:paraId="2E8E37B0" w14:textId="1E66E5CD" w:rsidR="00BE01FA" w:rsidRPr="001428ED" w:rsidRDefault="00BE01FA" w:rsidP="001F6DC1">
            <w:pPr>
              <w:numPr>
                <w:ilvl w:val="1"/>
                <w:numId w:val="2"/>
              </w:numPr>
              <w:spacing w:before="100" w:beforeAutospacing="1"/>
              <w:ind w:left="261" w:hanging="261"/>
              <w:rPr>
                <w:rFonts w:eastAsia="Times New Roman" w:cstheme="minorHAnsi"/>
                <w:b/>
                <w:lang w:eastAsia="en-GB"/>
              </w:rPr>
            </w:pPr>
            <w:r w:rsidRPr="00880FE3">
              <w:rPr>
                <w:rFonts w:eastAsia="Times New Roman" w:cstheme="minorHAnsi"/>
                <w:sz w:val="24"/>
                <w:lang w:eastAsia="en-GB"/>
              </w:rPr>
              <w:t xml:space="preserve">Brigitte Maass, Georg-August-University Göttingen, </w:t>
            </w:r>
            <w:r w:rsidR="001F6DC1" w:rsidRPr="00880FE3">
              <w:rPr>
                <w:rFonts w:eastAsia="Times New Roman" w:cstheme="minorHAnsi"/>
                <w:sz w:val="24"/>
                <w:lang w:eastAsia="en-GB"/>
              </w:rPr>
              <w:t>Germany</w:t>
            </w:r>
          </w:p>
        </w:tc>
      </w:tr>
    </w:tbl>
    <w:p w14:paraId="310A5257" w14:textId="77777777" w:rsidR="00BE01FA" w:rsidRPr="00F21534" w:rsidRDefault="00BE01FA">
      <w:pPr>
        <w:rPr>
          <w:b/>
        </w:rPr>
      </w:pPr>
    </w:p>
    <w:p w14:paraId="74059697" w14:textId="6C8ABDEA" w:rsidR="00BE01FA" w:rsidRDefault="00BE01FA">
      <w:r w:rsidRPr="00BE01FA">
        <w:rPr>
          <w:rFonts w:hint="eastAsia"/>
          <w:b/>
        </w:rPr>
        <w:t>Purpose of SAG</w:t>
      </w:r>
      <w:r w:rsidRPr="00BE01FA">
        <w:rPr>
          <w:b/>
        </w:rPr>
        <w:t>:</w:t>
      </w:r>
      <w:r>
        <w:t xml:space="preserve"> </w:t>
      </w:r>
      <w:r w:rsidRPr="00BE01FA">
        <w:rPr>
          <w:rFonts w:hint="eastAsia"/>
        </w:rPr>
        <w:t xml:space="preserve"> The SAG has been set up by the Program to ensure continuous, high</w:t>
      </w:r>
      <w:r w:rsidR="001F6DC1">
        <w:t>-</w:t>
      </w:r>
      <w:r w:rsidRPr="00BE01FA">
        <w:rPr>
          <w:rFonts w:hint="eastAsia"/>
        </w:rPr>
        <w:t xml:space="preserve">quality science in Africa RISING. The group advises the Program Coordination </w:t>
      </w:r>
      <w:r w:rsidR="00D3780C" w:rsidRPr="00BE01FA">
        <w:t>Team</w:t>
      </w:r>
      <w:r w:rsidRPr="00BE01FA">
        <w:rPr>
          <w:rFonts w:hint="eastAsia"/>
        </w:rPr>
        <w:t xml:space="preserve"> </w:t>
      </w:r>
      <w:r w:rsidR="001F6DC1">
        <w:t xml:space="preserve">(PCT) </w:t>
      </w:r>
      <w:r w:rsidR="00D3780C">
        <w:t xml:space="preserve">and </w:t>
      </w:r>
      <w:r w:rsidRPr="00BE01FA">
        <w:rPr>
          <w:rFonts w:hint="eastAsia"/>
        </w:rPr>
        <w:t>has a ma</w:t>
      </w:r>
      <w:bookmarkStart w:id="0" w:name="_GoBack"/>
      <w:bookmarkEnd w:id="0"/>
      <w:r w:rsidRPr="00BE01FA">
        <w:rPr>
          <w:rFonts w:hint="eastAsia"/>
        </w:rPr>
        <w:t>jor role in priority setting, helps establish strategic partnerships and external li</w:t>
      </w:r>
      <w:r w:rsidRPr="00BE01FA">
        <w:t>nkages to ensure that the technical program is well aligned and that</w:t>
      </w:r>
      <w:r>
        <w:t xml:space="preserve"> </w:t>
      </w:r>
      <w:r w:rsidRPr="00BE01FA">
        <w:t>the needed set of partners participates to achieve the goals and objectives of the Program.</w:t>
      </w:r>
    </w:p>
    <w:p w14:paraId="12D08403" w14:textId="77777777" w:rsidR="00BE01FA" w:rsidRDefault="00BE01FA"/>
    <w:p w14:paraId="10C913BC" w14:textId="3B07BB4D" w:rsidR="001428ED" w:rsidRDefault="00BE01FA">
      <w:r w:rsidRPr="00E073A9">
        <w:rPr>
          <w:b/>
        </w:rPr>
        <w:t>SAG-ToR</w:t>
      </w:r>
      <w:r w:rsidR="006C297C">
        <w:rPr>
          <w:b/>
        </w:rPr>
        <w:t xml:space="preserve">: </w:t>
      </w:r>
      <w:r>
        <w:t>G</w:t>
      </w:r>
      <w:r w:rsidRPr="00BE01FA">
        <w:t xml:space="preserve">enerally </w:t>
      </w:r>
      <w:r>
        <w:t>agreed</w:t>
      </w:r>
      <w:r w:rsidRPr="00BE01FA">
        <w:t xml:space="preserve">, but </w:t>
      </w:r>
      <w:r>
        <w:t>SAG</w:t>
      </w:r>
      <w:r w:rsidRPr="00BE01FA">
        <w:t xml:space="preserve"> </w:t>
      </w:r>
      <w:r>
        <w:t>cannot</w:t>
      </w:r>
      <w:r w:rsidRPr="00BE01FA">
        <w:t xml:space="preserve"> participate in internal reviews as part of the </w:t>
      </w:r>
      <w:r>
        <w:t>present T</w:t>
      </w:r>
      <w:r w:rsidR="009168B2">
        <w:t>o</w:t>
      </w:r>
      <w:r>
        <w:t xml:space="preserve">R.  </w:t>
      </w:r>
      <w:r w:rsidR="001428ED">
        <w:t>These would need to be agreed separately.</w:t>
      </w:r>
    </w:p>
    <w:p w14:paraId="5AD02B66" w14:textId="77777777" w:rsidR="001428ED" w:rsidRDefault="001428ED"/>
    <w:p w14:paraId="4DCF0FF4" w14:textId="2550A1EF" w:rsidR="00BE01FA" w:rsidRPr="001428ED" w:rsidRDefault="001428ED">
      <w:pPr>
        <w:rPr>
          <w:b/>
        </w:rPr>
      </w:pPr>
      <w:r w:rsidRPr="001428ED">
        <w:rPr>
          <w:b/>
        </w:rPr>
        <w:t>Immediate p</w:t>
      </w:r>
      <w:r w:rsidR="00BE01FA" w:rsidRPr="001428ED">
        <w:rPr>
          <w:b/>
        </w:rPr>
        <w:t xml:space="preserve">riorities </w:t>
      </w:r>
      <w:r w:rsidR="00D3780C" w:rsidRPr="001428ED">
        <w:rPr>
          <w:b/>
        </w:rPr>
        <w:t xml:space="preserve">were </w:t>
      </w:r>
      <w:r w:rsidR="006C297C" w:rsidRPr="001428ED">
        <w:rPr>
          <w:b/>
        </w:rPr>
        <w:t>seen as</w:t>
      </w:r>
      <w:r w:rsidR="00BE01FA" w:rsidRPr="001428ED">
        <w:rPr>
          <w:b/>
        </w:rPr>
        <w:t xml:space="preserve"> harmonization, scaling and lesson learning</w:t>
      </w:r>
      <w:r w:rsidR="006C297C" w:rsidRPr="001428ED">
        <w:rPr>
          <w:b/>
        </w:rPr>
        <w:t>.</w:t>
      </w:r>
    </w:p>
    <w:p w14:paraId="59B68299" w14:textId="77777777" w:rsidR="00F71CDA" w:rsidRPr="00E073A9" w:rsidRDefault="00F71CDA">
      <w:pPr>
        <w:rPr>
          <w:b/>
        </w:rPr>
      </w:pPr>
    </w:p>
    <w:p w14:paraId="7874528D" w14:textId="399BBB9D" w:rsidR="006C297C" w:rsidRDefault="006C297C" w:rsidP="001428ED">
      <w:pPr>
        <w:pStyle w:val="ListParagraph"/>
        <w:numPr>
          <w:ilvl w:val="0"/>
          <w:numId w:val="5"/>
        </w:numPr>
      </w:pPr>
      <w:r w:rsidRPr="001428ED">
        <w:rPr>
          <w:b/>
        </w:rPr>
        <w:t>Moving from Phase 1 to Phase 2</w:t>
      </w:r>
      <w:r>
        <w:t xml:space="preserve"> </w:t>
      </w:r>
    </w:p>
    <w:p w14:paraId="49BD1EDE" w14:textId="20F75841" w:rsidR="00067CA0" w:rsidRDefault="00F71CDA" w:rsidP="001428ED">
      <w:pPr>
        <w:pStyle w:val="ListParagraph"/>
        <w:numPr>
          <w:ilvl w:val="0"/>
          <w:numId w:val="6"/>
        </w:numPr>
        <w:ind w:left="1080"/>
      </w:pPr>
      <w:r>
        <w:t xml:space="preserve">To help the SAG come up to speed and facilitate participation, SAG members felt that it was imperative that Africa </w:t>
      </w:r>
      <w:r w:rsidR="006C297C">
        <w:t xml:space="preserve">RISING should </w:t>
      </w:r>
      <w:r>
        <w:t xml:space="preserve">synthesize the technologies that have been tested and validated in Phase 1 </w:t>
      </w:r>
      <w:r w:rsidR="001428ED">
        <w:t>by</w:t>
      </w:r>
      <w:r>
        <w:t xml:space="preserve"> country, as well as overall results </w:t>
      </w:r>
      <w:r w:rsidR="001428ED">
        <w:t>with</w:t>
      </w:r>
      <w:r>
        <w:t xml:space="preserve"> recommendations from Phase 1 research.  </w:t>
      </w:r>
    </w:p>
    <w:p w14:paraId="77560B14" w14:textId="77777777" w:rsidR="00067CA0" w:rsidRDefault="00067CA0" w:rsidP="001428ED">
      <w:pPr>
        <w:ind w:left="360"/>
      </w:pPr>
    </w:p>
    <w:p w14:paraId="5CD19185" w14:textId="6F12130A" w:rsidR="00D3780C" w:rsidRDefault="00F71CDA" w:rsidP="001428ED">
      <w:pPr>
        <w:pStyle w:val="ListParagraph"/>
        <w:numPr>
          <w:ilvl w:val="0"/>
          <w:numId w:val="6"/>
        </w:numPr>
        <w:ind w:left="1080"/>
      </w:pPr>
      <w:r>
        <w:t xml:space="preserve">In addition, the SAG believes that it would be </w:t>
      </w:r>
      <w:r w:rsidR="001428ED">
        <w:t>desirable</w:t>
      </w:r>
      <w:r>
        <w:t xml:space="preserve"> to map Phase 2 projects and research activities onto the Theory of Chang</w:t>
      </w:r>
      <w:r w:rsidR="00067CA0">
        <w:t>e (ToC)</w:t>
      </w:r>
      <w:r>
        <w:t xml:space="preserve"> and to organize reporting of Phase 2 activities by that mapping.   </w:t>
      </w:r>
    </w:p>
    <w:p w14:paraId="1F2BA433" w14:textId="77777777" w:rsidR="00D3780C" w:rsidRDefault="00D3780C" w:rsidP="001428ED">
      <w:pPr>
        <w:pStyle w:val="ListParagraph"/>
        <w:ind w:left="1080"/>
      </w:pPr>
    </w:p>
    <w:p w14:paraId="3AF3F5B4" w14:textId="14BBD76E" w:rsidR="00F71CDA" w:rsidRDefault="00F71CDA" w:rsidP="001428ED">
      <w:pPr>
        <w:pStyle w:val="ListParagraph"/>
        <w:numPr>
          <w:ilvl w:val="0"/>
          <w:numId w:val="6"/>
        </w:numPr>
        <w:ind w:left="1080"/>
      </w:pPr>
      <w:r>
        <w:t>Looking forward, in addition to providing a coherent framework for reporting, organizing reports</w:t>
      </w:r>
      <w:r w:rsidR="001428ED">
        <w:t xml:space="preserve">, </w:t>
      </w:r>
      <w:r>
        <w:t xml:space="preserve"> </w:t>
      </w:r>
      <w:r w:rsidR="001428ED">
        <w:t>using a</w:t>
      </w:r>
      <w:r>
        <w:t xml:space="preserve"> </w:t>
      </w:r>
      <w:r w:rsidR="00067CA0">
        <w:t xml:space="preserve">ToC </w:t>
      </w:r>
      <w:r>
        <w:t>is now relatively standard practice and thus</w:t>
      </w:r>
      <w:r w:rsidR="001428ED">
        <w:t>,</w:t>
      </w:r>
      <w:r>
        <w:t xml:space="preserve"> what </w:t>
      </w:r>
      <w:r w:rsidR="006C297C">
        <w:t xml:space="preserve">internal and </w:t>
      </w:r>
      <w:r>
        <w:t>external reviewers would expect to see.</w:t>
      </w:r>
      <w:r w:rsidR="00067CA0">
        <w:t xml:space="preserve">   This would also make it easier to understand how regional projects’ indicators </w:t>
      </w:r>
      <w:r w:rsidR="001428ED">
        <w:t>fit</w:t>
      </w:r>
      <w:r w:rsidR="00067CA0">
        <w:t xml:space="preserve"> the ToC .  And, once “sustainable intensification indicators are agreed, they can be </w:t>
      </w:r>
      <w:r w:rsidR="001428ED">
        <w:t>included i</w:t>
      </w:r>
      <w:r w:rsidR="00067CA0">
        <w:t>nto ToC outcomes.</w:t>
      </w:r>
    </w:p>
    <w:p w14:paraId="3C25C28C" w14:textId="77777777" w:rsidR="00F71CDA" w:rsidRDefault="00F71CDA"/>
    <w:p w14:paraId="0FA54BA1" w14:textId="77777777" w:rsidR="00F71CDA" w:rsidRPr="00E073A9" w:rsidRDefault="00F71CDA">
      <w:pPr>
        <w:rPr>
          <w:b/>
        </w:rPr>
      </w:pPr>
      <w:r w:rsidRPr="00E073A9">
        <w:rPr>
          <w:b/>
        </w:rPr>
        <w:t>In addition to the above points, the SAG discussed the following:</w:t>
      </w:r>
    </w:p>
    <w:p w14:paraId="53532000" w14:textId="77777777" w:rsidR="00F71CDA" w:rsidRDefault="00F71CDA"/>
    <w:p w14:paraId="36FF88E7" w14:textId="1ECB0FF1" w:rsidR="00F71CDA" w:rsidRDefault="006C297C" w:rsidP="001428ED">
      <w:pPr>
        <w:pStyle w:val="ListParagraph"/>
        <w:numPr>
          <w:ilvl w:val="0"/>
          <w:numId w:val="5"/>
        </w:numPr>
      </w:pPr>
      <w:r w:rsidRPr="00E073A9">
        <w:rPr>
          <w:b/>
        </w:rPr>
        <w:t>Learning/dissemination activities</w:t>
      </w:r>
      <w:r w:rsidR="001F6DC1">
        <w:t>:</w:t>
      </w:r>
      <w:r>
        <w:t xml:space="preserve"> </w:t>
      </w:r>
      <w:r w:rsidRPr="006C297C">
        <w:t xml:space="preserve"> </w:t>
      </w:r>
      <w:r w:rsidR="00F71CDA">
        <w:t xml:space="preserve">It would be instructive for the SAG to have greater clarification on the learning/dissemination activities that form a part of the communication strategies, and capacity building – and the link </w:t>
      </w:r>
      <w:r w:rsidR="00F71CDA">
        <w:lastRenderedPageBreak/>
        <w:t>between communication and capacity building – particularly as these pertain to scaling.</w:t>
      </w:r>
    </w:p>
    <w:p w14:paraId="623C9890" w14:textId="77777777" w:rsidR="00E073A9" w:rsidRDefault="00E073A9" w:rsidP="00E073A9">
      <w:pPr>
        <w:pStyle w:val="ListParagraph"/>
      </w:pPr>
    </w:p>
    <w:p w14:paraId="0433C4C9" w14:textId="26EE679D" w:rsidR="00F71CDA" w:rsidRDefault="002D09E9" w:rsidP="001428ED">
      <w:pPr>
        <w:pStyle w:val="ListParagraph"/>
        <w:numPr>
          <w:ilvl w:val="0"/>
          <w:numId w:val="5"/>
        </w:numPr>
      </w:pPr>
      <w:r w:rsidRPr="00E073A9">
        <w:rPr>
          <w:b/>
        </w:rPr>
        <w:t>Platforms</w:t>
      </w:r>
      <w:r>
        <w:t xml:space="preserve">:  </w:t>
      </w:r>
      <w:r w:rsidR="00F71CDA">
        <w:t xml:space="preserve">Building on point </w:t>
      </w:r>
      <w:r w:rsidR="001428ED">
        <w:t>2</w:t>
      </w:r>
      <w:r w:rsidR="00F71CDA">
        <w:t>, the SAG is interested to understand better the strategies underlying the partnerships for scaling, and the role of the platforms i</w:t>
      </w:r>
      <w:r w:rsidR="000A621F">
        <w:t>n this strategy.  Specifically:</w:t>
      </w:r>
    </w:p>
    <w:p w14:paraId="511115B4" w14:textId="77777777" w:rsidR="000A621F" w:rsidRDefault="000A621F" w:rsidP="000A621F">
      <w:pPr>
        <w:pStyle w:val="ListParagraph"/>
        <w:numPr>
          <w:ilvl w:val="1"/>
          <w:numId w:val="1"/>
        </w:numPr>
      </w:pPr>
      <w:r>
        <w:t xml:space="preserve">What are the mechanisms to reach “up” to the higher-level policy frameworks, as needed to </w:t>
      </w:r>
      <w:r w:rsidR="004E7CEE">
        <w:t>enable scaling up</w:t>
      </w:r>
    </w:p>
    <w:p w14:paraId="177A8D8F" w14:textId="77777777" w:rsidR="004E7CEE" w:rsidRDefault="004E7CEE" w:rsidP="000A621F">
      <w:pPr>
        <w:pStyle w:val="ListParagraph"/>
        <w:numPr>
          <w:ilvl w:val="1"/>
          <w:numId w:val="1"/>
        </w:numPr>
      </w:pPr>
      <w:r>
        <w:t xml:space="preserve">Functioning of platforms at district level </w:t>
      </w:r>
      <w:r w:rsidR="00462365">
        <w:t>– it would be helpful to clarify their roles in scaling and also for the broader, landscape-scale activities</w:t>
      </w:r>
    </w:p>
    <w:p w14:paraId="53956164" w14:textId="77777777" w:rsidR="00462365" w:rsidRDefault="00067CA0" w:rsidP="000A621F">
      <w:pPr>
        <w:pStyle w:val="ListParagraph"/>
        <w:numPr>
          <w:ilvl w:val="1"/>
          <w:numId w:val="1"/>
        </w:numPr>
      </w:pPr>
      <w:r>
        <w:t>If platforms are not functional in all counties, is there a substitute?</w:t>
      </w:r>
    </w:p>
    <w:p w14:paraId="24C62D3F" w14:textId="77777777" w:rsidR="00067CA0" w:rsidRDefault="00067CA0" w:rsidP="000A621F">
      <w:pPr>
        <w:pStyle w:val="ListParagraph"/>
        <w:numPr>
          <w:ilvl w:val="1"/>
          <w:numId w:val="1"/>
        </w:numPr>
      </w:pPr>
      <w:r>
        <w:t>If platforms are working well, what are plans to make sure the “right” partners for scaling join, and actively participate in, the platform</w:t>
      </w:r>
    </w:p>
    <w:p w14:paraId="61C27D49" w14:textId="77777777" w:rsidR="00067CA0" w:rsidRDefault="00067CA0" w:rsidP="000A621F">
      <w:pPr>
        <w:pStyle w:val="ListParagraph"/>
        <w:numPr>
          <w:ilvl w:val="1"/>
          <w:numId w:val="1"/>
        </w:numPr>
      </w:pPr>
      <w:r>
        <w:t>Is there a need for lower-level (e.g. community-based) platforms</w:t>
      </w:r>
    </w:p>
    <w:p w14:paraId="7D4D4A95" w14:textId="77777777" w:rsidR="00067CA0" w:rsidRDefault="00067CA0" w:rsidP="000A621F">
      <w:pPr>
        <w:pStyle w:val="ListParagraph"/>
        <w:numPr>
          <w:ilvl w:val="1"/>
          <w:numId w:val="1"/>
        </w:numPr>
      </w:pPr>
      <w:r>
        <w:t>Is there any accompanying research on the functioning and performance of the platforms?</w:t>
      </w:r>
    </w:p>
    <w:p w14:paraId="19333A01" w14:textId="77777777" w:rsidR="00067CA0" w:rsidRDefault="00067CA0" w:rsidP="000A621F">
      <w:pPr>
        <w:pStyle w:val="ListParagraph"/>
        <w:numPr>
          <w:ilvl w:val="1"/>
          <w:numId w:val="1"/>
        </w:numPr>
      </w:pPr>
      <w:r>
        <w:t>Are there any monitoring indicators for platform performance?</w:t>
      </w:r>
    </w:p>
    <w:p w14:paraId="4224811B" w14:textId="77777777" w:rsidR="006C297C" w:rsidRDefault="006C297C" w:rsidP="00E073A9">
      <w:pPr>
        <w:pStyle w:val="ListParagraph"/>
        <w:ind w:left="1440"/>
      </w:pPr>
    </w:p>
    <w:p w14:paraId="64953716" w14:textId="4B6F3210" w:rsidR="002D09E9" w:rsidRDefault="002D09E9" w:rsidP="001428ED">
      <w:pPr>
        <w:pStyle w:val="ListParagraph"/>
        <w:numPr>
          <w:ilvl w:val="0"/>
          <w:numId w:val="5"/>
        </w:numPr>
      </w:pPr>
      <w:r w:rsidRPr="00E073A9">
        <w:rPr>
          <w:b/>
        </w:rPr>
        <w:t>Partnerships</w:t>
      </w:r>
      <w:r>
        <w:t>:</w:t>
      </w:r>
    </w:p>
    <w:p w14:paraId="5680B7F7" w14:textId="29D57015" w:rsidR="002D09E9" w:rsidRDefault="002D09E9" w:rsidP="00880FE3">
      <w:pPr>
        <w:pStyle w:val="ListParagraph"/>
        <w:numPr>
          <w:ilvl w:val="0"/>
          <w:numId w:val="7"/>
        </w:numPr>
      </w:pPr>
      <w:r>
        <w:t>It would be instructive to know, as Phase 2 evo</w:t>
      </w:r>
      <w:r w:rsidR="001415CB">
        <w:t>lves, which partnerships have been established at which level (see M&amp;E below), clarifying the different roles for the partners</w:t>
      </w:r>
    </w:p>
    <w:p w14:paraId="7EF60CB3" w14:textId="5A1A2BA2" w:rsidR="001415CB" w:rsidRDefault="001415CB" w:rsidP="001415CB">
      <w:pPr>
        <w:pStyle w:val="ListParagraph"/>
        <w:numPr>
          <w:ilvl w:val="2"/>
          <w:numId w:val="1"/>
        </w:numPr>
      </w:pPr>
      <w:r>
        <w:t xml:space="preserve">The above can also help clarify the partners “involvement”, as stated in the phase 2 proposal.  For instance, does this involvement include learning/sharing experiences, and learning across countries. </w:t>
      </w:r>
    </w:p>
    <w:p w14:paraId="4DC3582A" w14:textId="3EDE54B2" w:rsidR="001415CB" w:rsidRDefault="001415CB" w:rsidP="001415CB">
      <w:pPr>
        <w:pStyle w:val="ListParagraph"/>
        <w:numPr>
          <w:ilvl w:val="2"/>
          <w:numId w:val="1"/>
        </w:numPr>
      </w:pPr>
      <w:r>
        <w:t>Clarification of the roles of partners specifically in scaling, and linking stakeholders to achieve scaling</w:t>
      </w:r>
    </w:p>
    <w:p w14:paraId="5BA8A3B5" w14:textId="3FD09145" w:rsidR="001415CB" w:rsidRDefault="001415CB" w:rsidP="00880FE3">
      <w:pPr>
        <w:pStyle w:val="ListParagraph"/>
        <w:numPr>
          <w:ilvl w:val="0"/>
          <w:numId w:val="7"/>
        </w:numPr>
      </w:pPr>
      <w:r>
        <w:t>The above may be particularly helpful for identifying gaps, and comparing partnerships across the countries can be useful for determining how those gaps might be filled.</w:t>
      </w:r>
    </w:p>
    <w:p w14:paraId="0D79C340" w14:textId="77777777" w:rsidR="006C297C" w:rsidRDefault="006C297C" w:rsidP="00E073A9">
      <w:pPr>
        <w:pStyle w:val="ListParagraph"/>
        <w:ind w:left="1440"/>
      </w:pPr>
    </w:p>
    <w:p w14:paraId="5D450636" w14:textId="77777777" w:rsidR="00C11749" w:rsidRDefault="00067CA0" w:rsidP="001428ED">
      <w:pPr>
        <w:pStyle w:val="ListParagraph"/>
        <w:numPr>
          <w:ilvl w:val="0"/>
          <w:numId w:val="5"/>
        </w:numPr>
      </w:pPr>
      <w:r w:rsidRPr="00E073A9">
        <w:rPr>
          <w:b/>
        </w:rPr>
        <w:t>Research Focus</w:t>
      </w:r>
      <w:r>
        <w:t xml:space="preserve">:  </w:t>
      </w:r>
    </w:p>
    <w:p w14:paraId="3C0C3B41" w14:textId="77777777" w:rsidR="00067CA0" w:rsidRDefault="00067CA0" w:rsidP="00880FE3">
      <w:pPr>
        <w:pStyle w:val="ListParagraph"/>
        <w:numPr>
          <w:ilvl w:val="0"/>
          <w:numId w:val="8"/>
        </w:numPr>
      </w:pPr>
      <w:r>
        <w:t>Here, the main point of discussion for SAG members was to better understand the mechanisms for how requests for backstopping will be operationalized</w:t>
      </w:r>
    </w:p>
    <w:p w14:paraId="3C4A0D32" w14:textId="77777777" w:rsidR="00C11749" w:rsidRDefault="00C11749" w:rsidP="00880FE3">
      <w:pPr>
        <w:pStyle w:val="ListParagraph"/>
        <w:numPr>
          <w:ilvl w:val="0"/>
          <w:numId w:val="8"/>
        </w:numPr>
      </w:pPr>
      <w:r>
        <w:t>Clarify how the typologies can be used and communicated in the 2</w:t>
      </w:r>
      <w:r w:rsidRPr="00C11749">
        <w:rPr>
          <w:vertAlign w:val="superscript"/>
        </w:rPr>
        <w:t>nd</w:t>
      </w:r>
      <w:r>
        <w:t xml:space="preserve"> Phase, specifically in the context of scaling.</w:t>
      </w:r>
    </w:p>
    <w:p w14:paraId="7FE9162B" w14:textId="77777777" w:rsidR="00C11749" w:rsidRDefault="00C11749" w:rsidP="00880FE3">
      <w:pPr>
        <w:pStyle w:val="ListParagraph"/>
        <w:numPr>
          <w:ilvl w:val="0"/>
          <w:numId w:val="8"/>
        </w:numPr>
      </w:pPr>
      <w:r>
        <w:t>SAG members are still unclear what exactly will fall under “generic” research and what will be considered backstopping (in part because the SAG remains unclear regarding the feedback mechanisms for identifying backstopping research, as discussed above).</w:t>
      </w:r>
    </w:p>
    <w:p w14:paraId="13442AF2" w14:textId="77777777" w:rsidR="006C297C" w:rsidRDefault="006C297C" w:rsidP="00E073A9">
      <w:pPr>
        <w:pStyle w:val="ListParagraph"/>
        <w:ind w:left="1440"/>
      </w:pPr>
    </w:p>
    <w:p w14:paraId="2C047C1D" w14:textId="43E7CB01" w:rsidR="00067CA0" w:rsidRPr="00E073A9" w:rsidRDefault="00C11749" w:rsidP="001428ED">
      <w:pPr>
        <w:pStyle w:val="ListParagraph"/>
        <w:numPr>
          <w:ilvl w:val="0"/>
          <w:numId w:val="5"/>
        </w:numPr>
        <w:rPr>
          <w:b/>
        </w:rPr>
      </w:pPr>
      <w:r w:rsidRPr="00E073A9">
        <w:rPr>
          <w:b/>
        </w:rPr>
        <w:t>Monitoring and Evaluation</w:t>
      </w:r>
      <w:r w:rsidR="00D1674B" w:rsidRPr="00E073A9">
        <w:rPr>
          <w:b/>
        </w:rPr>
        <w:t>:</w:t>
      </w:r>
    </w:p>
    <w:p w14:paraId="431A2E31" w14:textId="77777777" w:rsidR="00C11749" w:rsidRDefault="00C11749" w:rsidP="00880FE3">
      <w:pPr>
        <w:pStyle w:val="ListParagraph"/>
        <w:numPr>
          <w:ilvl w:val="0"/>
          <w:numId w:val="9"/>
        </w:numPr>
      </w:pPr>
      <w:r>
        <w:t>Here, the SAG would like more clarity on M&amp;E for supra-household level indicators and data collection, e.g. for performance of platforms, for documenting partnerships and partner scaling activities, for the landscape-level activities, etc.</w:t>
      </w:r>
    </w:p>
    <w:p w14:paraId="0A9EBF63" w14:textId="77777777" w:rsidR="001F6DC1" w:rsidRDefault="001F6DC1" w:rsidP="00384D8A">
      <w:pPr>
        <w:pStyle w:val="ListParagraph"/>
        <w:ind w:left="1440"/>
      </w:pPr>
    </w:p>
    <w:p w14:paraId="5E6AD67B" w14:textId="2E63B64A" w:rsidR="00C11749" w:rsidRDefault="00C11749" w:rsidP="001428ED">
      <w:pPr>
        <w:pStyle w:val="ListParagraph"/>
        <w:numPr>
          <w:ilvl w:val="0"/>
          <w:numId w:val="5"/>
        </w:numPr>
      </w:pPr>
      <w:r w:rsidRPr="00E073A9">
        <w:rPr>
          <w:b/>
        </w:rPr>
        <w:t>Research Management</w:t>
      </w:r>
      <w:r>
        <w:t>, particularly as concerns SAG</w:t>
      </w:r>
      <w:r w:rsidR="00D1674B">
        <w:t>:</w:t>
      </w:r>
    </w:p>
    <w:p w14:paraId="43B30DDE" w14:textId="77777777" w:rsidR="00C11749" w:rsidRDefault="00C11749" w:rsidP="00880FE3">
      <w:pPr>
        <w:pStyle w:val="ListParagraph"/>
        <w:numPr>
          <w:ilvl w:val="0"/>
          <w:numId w:val="12"/>
        </w:numPr>
      </w:pPr>
      <w:r>
        <w:t>SAG members agreed that it would be particularly useful to attend Annual Learning Meetings</w:t>
      </w:r>
    </w:p>
    <w:p w14:paraId="4727C7AD" w14:textId="77777777" w:rsidR="00C11749" w:rsidRDefault="00C11749" w:rsidP="00880FE3">
      <w:pPr>
        <w:pStyle w:val="ListParagraph"/>
        <w:numPr>
          <w:ilvl w:val="0"/>
          <w:numId w:val="12"/>
        </w:numPr>
      </w:pPr>
      <w:r>
        <w:t>The Phase 2 proposal discusses the role of chief scientists in ensuring harmonization and integration – this is one area where at least some direct communication between SAG and the chief scientists might be warranted.  This might be as basic as sending SAG members any minutes of chief scientist meetings that concern harmonization and integration, for instance.</w:t>
      </w:r>
    </w:p>
    <w:p w14:paraId="2BC1EBB2" w14:textId="77777777" w:rsidR="00D3780C" w:rsidRDefault="00D3780C" w:rsidP="00E073A9">
      <w:pPr>
        <w:pStyle w:val="ListParagraph"/>
        <w:ind w:left="1440"/>
      </w:pPr>
    </w:p>
    <w:p w14:paraId="7263F4FF" w14:textId="4254EEF4" w:rsidR="001415CB" w:rsidRDefault="001415CB" w:rsidP="001428ED">
      <w:pPr>
        <w:pStyle w:val="ListParagraph"/>
        <w:numPr>
          <w:ilvl w:val="0"/>
          <w:numId w:val="5"/>
        </w:numPr>
      </w:pPr>
      <w:r w:rsidRPr="00E073A9">
        <w:rPr>
          <w:b/>
        </w:rPr>
        <w:t>Harmonization</w:t>
      </w:r>
      <w:r w:rsidR="00D1674B">
        <w:t>:</w:t>
      </w:r>
    </w:p>
    <w:p w14:paraId="7FBACDA6" w14:textId="28B8AE3A" w:rsidR="001415CB" w:rsidRDefault="001415CB" w:rsidP="00880FE3">
      <w:pPr>
        <w:pStyle w:val="ListParagraph"/>
        <w:numPr>
          <w:ilvl w:val="0"/>
          <w:numId w:val="10"/>
        </w:numPr>
      </w:pPr>
      <w:r>
        <w:t>Given the Terms of Reference for the SAG, harmonization</w:t>
      </w:r>
      <w:r w:rsidR="00D1674B">
        <w:t xml:space="preserve"> is a key area for SAG involvement.  Thus, the SAG would benefit from a discussion on the mechanisms for information flows to and from the SAG</w:t>
      </w:r>
    </w:p>
    <w:p w14:paraId="497BC67C" w14:textId="77777777" w:rsidR="00D3780C" w:rsidRDefault="00D3780C" w:rsidP="00E073A9">
      <w:pPr>
        <w:pStyle w:val="ListParagraph"/>
        <w:ind w:left="1440"/>
      </w:pPr>
    </w:p>
    <w:p w14:paraId="12858E81" w14:textId="2AE34F7D" w:rsidR="00D1674B" w:rsidRDefault="00D1674B" w:rsidP="001428ED">
      <w:pPr>
        <w:pStyle w:val="ListParagraph"/>
        <w:numPr>
          <w:ilvl w:val="0"/>
          <w:numId w:val="5"/>
        </w:numPr>
      </w:pPr>
      <w:r w:rsidRPr="00E073A9">
        <w:rPr>
          <w:b/>
        </w:rPr>
        <w:t>Data Management</w:t>
      </w:r>
      <w:r>
        <w:t>:</w:t>
      </w:r>
    </w:p>
    <w:p w14:paraId="6D6D373D" w14:textId="4E49A205" w:rsidR="00D1674B" w:rsidRDefault="00D1674B" w:rsidP="00880FE3">
      <w:pPr>
        <w:pStyle w:val="ListParagraph"/>
        <w:numPr>
          <w:ilvl w:val="0"/>
          <w:numId w:val="11"/>
        </w:numPr>
      </w:pPr>
      <w:r>
        <w:t>Here, our discussion focused mainly on how data management (data collected for research, the M&amp;E indicators, farmer typologies, etc) can be fully utilized for scaling.</w:t>
      </w:r>
    </w:p>
    <w:p w14:paraId="11ED0E48" w14:textId="77777777" w:rsidR="00D1674B" w:rsidRDefault="00D1674B" w:rsidP="00D1674B"/>
    <w:p w14:paraId="33A7F093" w14:textId="6F2F4094" w:rsidR="00E440FF" w:rsidRDefault="00D1674B" w:rsidP="00E440FF">
      <w:r w:rsidRPr="00D1674B">
        <w:rPr>
          <w:b/>
        </w:rPr>
        <w:t>The Communities of Practice</w:t>
      </w:r>
      <w:r>
        <w:t xml:space="preserve"> (as discussed before the suggested re-organization by the management committee)</w:t>
      </w:r>
    </w:p>
    <w:p w14:paraId="3E45E966" w14:textId="77777777" w:rsidR="00D1674B" w:rsidRDefault="00D1674B" w:rsidP="00E440FF"/>
    <w:p w14:paraId="77B60C62" w14:textId="65341B4B" w:rsidR="00D1674B" w:rsidRPr="00E073A9" w:rsidRDefault="00D1674B" w:rsidP="00D1674B">
      <w:pPr>
        <w:tabs>
          <w:tab w:val="left" w:pos="3600"/>
          <w:tab w:val="left" w:pos="6480"/>
        </w:tabs>
        <w:rPr>
          <w:b/>
        </w:rPr>
      </w:pPr>
      <w:r w:rsidRPr="00E073A9">
        <w:rPr>
          <w:b/>
          <w:u w:val="single"/>
        </w:rPr>
        <w:t>CoP</w:t>
      </w:r>
      <w:r w:rsidRPr="00E073A9">
        <w:rPr>
          <w:b/>
        </w:rPr>
        <w:tab/>
      </w:r>
      <w:r w:rsidRPr="00E073A9">
        <w:rPr>
          <w:b/>
          <w:u w:val="single"/>
        </w:rPr>
        <w:t>Primary SAG</w:t>
      </w:r>
      <w:r w:rsidRPr="00E073A9">
        <w:rPr>
          <w:b/>
        </w:rPr>
        <w:tab/>
      </w:r>
      <w:r w:rsidRPr="00E073A9">
        <w:rPr>
          <w:b/>
          <w:u w:val="single"/>
        </w:rPr>
        <w:t>Secondary SAG</w:t>
      </w:r>
    </w:p>
    <w:p w14:paraId="1E05F27B" w14:textId="72AC3FC1" w:rsidR="00D1674B" w:rsidRDefault="00D1674B" w:rsidP="00D1674B">
      <w:pPr>
        <w:tabs>
          <w:tab w:val="left" w:pos="3600"/>
          <w:tab w:val="left" w:pos="6480"/>
        </w:tabs>
      </w:pPr>
      <w:r>
        <w:t>Livestock</w:t>
      </w:r>
      <w:r>
        <w:tab/>
        <w:t>Brigitte Maas</w:t>
      </w:r>
      <w:r w:rsidR="00504440">
        <w:t>s</w:t>
      </w:r>
      <w:r>
        <w:tab/>
        <w:t>Colletah</w:t>
      </w:r>
      <w:r w:rsidR="00504440">
        <w:t xml:space="preserve"> Chitsike</w:t>
      </w:r>
    </w:p>
    <w:p w14:paraId="15081E11" w14:textId="3D166259" w:rsidR="00D1674B" w:rsidRDefault="00D1674B" w:rsidP="00D1674B">
      <w:pPr>
        <w:tabs>
          <w:tab w:val="left" w:pos="3600"/>
          <w:tab w:val="left" w:pos="6480"/>
        </w:tabs>
      </w:pPr>
      <w:r>
        <w:t>Private Sector</w:t>
      </w:r>
      <w:r>
        <w:tab/>
        <w:t>Moses Tenywa</w:t>
      </w:r>
      <w:r>
        <w:tab/>
        <w:t>Eva</w:t>
      </w:r>
      <w:r w:rsidR="00504440">
        <w:t xml:space="preserve"> Weltzien</w:t>
      </w:r>
    </w:p>
    <w:p w14:paraId="16D4463D" w14:textId="5516D35C" w:rsidR="00D1674B" w:rsidRDefault="00D1674B" w:rsidP="00D1674B">
      <w:pPr>
        <w:tabs>
          <w:tab w:val="left" w:pos="3600"/>
          <w:tab w:val="left" w:pos="6480"/>
        </w:tabs>
      </w:pPr>
      <w:r>
        <w:t>Nutrition</w:t>
      </w:r>
      <w:r>
        <w:tab/>
        <w:t>Eva</w:t>
      </w:r>
      <w:r w:rsidR="00504440">
        <w:t xml:space="preserve"> Weltzien</w:t>
      </w:r>
      <w:r>
        <w:tab/>
        <w:t>Brigitte</w:t>
      </w:r>
      <w:r w:rsidR="00504440">
        <w:t xml:space="preserve"> Maass</w:t>
      </w:r>
    </w:p>
    <w:p w14:paraId="31629946" w14:textId="70E5AC14" w:rsidR="00D1674B" w:rsidRDefault="00D1674B" w:rsidP="00D1674B">
      <w:pPr>
        <w:tabs>
          <w:tab w:val="left" w:pos="3600"/>
          <w:tab w:val="left" w:pos="6480"/>
        </w:tabs>
      </w:pPr>
      <w:r>
        <w:t>Scaling</w:t>
      </w:r>
      <w:r>
        <w:tab/>
        <w:t>Nancy McCarthy</w:t>
      </w:r>
      <w:r>
        <w:tab/>
        <w:t>Jim Ellis-Jones</w:t>
      </w:r>
    </w:p>
    <w:p w14:paraId="7AAA4352" w14:textId="1FBEA2C2" w:rsidR="00D1674B" w:rsidRDefault="00D1674B" w:rsidP="00D1674B">
      <w:pPr>
        <w:tabs>
          <w:tab w:val="left" w:pos="3600"/>
          <w:tab w:val="left" w:pos="6480"/>
        </w:tabs>
      </w:pPr>
      <w:r>
        <w:t>Socio-Economics</w:t>
      </w:r>
      <w:r w:rsidR="00D3780C" w:rsidRPr="00E073A9">
        <w:rPr>
          <w:vertAlign w:val="superscript"/>
        </w:rPr>
        <w:t>1</w:t>
      </w:r>
      <w:r>
        <w:tab/>
        <w:t>Jim Ellis-Jones</w:t>
      </w:r>
      <w:r>
        <w:tab/>
        <w:t>Nancy McCarthy</w:t>
      </w:r>
    </w:p>
    <w:p w14:paraId="70D49A51" w14:textId="6F76A246" w:rsidR="00D3780C" w:rsidRDefault="00D3780C" w:rsidP="00D1674B">
      <w:pPr>
        <w:tabs>
          <w:tab w:val="left" w:pos="3600"/>
          <w:tab w:val="left" w:pos="6480"/>
        </w:tabs>
      </w:pPr>
      <w:r>
        <w:t>Watershed managment</w:t>
      </w:r>
      <w:r w:rsidRPr="00E073A9">
        <w:rPr>
          <w:vertAlign w:val="superscript"/>
        </w:rPr>
        <w:t>2</w:t>
      </w:r>
      <w:r>
        <w:tab/>
        <w:t>Moses Tenya</w:t>
      </w:r>
    </w:p>
    <w:p w14:paraId="4BCB278A" w14:textId="77777777" w:rsidR="00384D8A" w:rsidRDefault="00384D8A" w:rsidP="00D1674B">
      <w:pPr>
        <w:tabs>
          <w:tab w:val="left" w:pos="3600"/>
          <w:tab w:val="left" w:pos="6480"/>
        </w:tabs>
      </w:pPr>
    </w:p>
    <w:p w14:paraId="06661A2F" w14:textId="1ABC1A67" w:rsidR="00E440FF" w:rsidRDefault="00D3780C" w:rsidP="00D1674B">
      <w:pPr>
        <w:tabs>
          <w:tab w:val="left" w:pos="3600"/>
          <w:tab w:val="left" w:pos="6480"/>
        </w:tabs>
      </w:pPr>
      <w:r w:rsidRPr="00E073A9">
        <w:rPr>
          <w:vertAlign w:val="superscript"/>
        </w:rPr>
        <w:t>1</w:t>
      </w:r>
      <w:r>
        <w:t xml:space="preserve"> Now cuts across all C</w:t>
      </w:r>
      <w:r w:rsidR="001F6DC1">
        <w:t>o</w:t>
      </w:r>
      <w:r>
        <w:t xml:space="preserve">Ps, </w:t>
      </w:r>
      <w:r w:rsidRPr="00E073A9">
        <w:rPr>
          <w:vertAlign w:val="superscript"/>
        </w:rPr>
        <w:t xml:space="preserve">2 </w:t>
      </w:r>
      <w:r>
        <w:t>Additional C</w:t>
      </w:r>
      <w:r w:rsidR="001F6DC1">
        <w:t>o</w:t>
      </w:r>
      <w:r>
        <w:t>P</w:t>
      </w:r>
    </w:p>
    <w:p w14:paraId="353C414E" w14:textId="77777777" w:rsidR="00D3780C" w:rsidRDefault="00D3780C" w:rsidP="00D1674B">
      <w:pPr>
        <w:tabs>
          <w:tab w:val="left" w:pos="3600"/>
          <w:tab w:val="left" w:pos="6480"/>
        </w:tabs>
        <w:rPr>
          <w:b/>
        </w:rPr>
      </w:pPr>
    </w:p>
    <w:p w14:paraId="67B76130" w14:textId="29FA5ED0" w:rsidR="00504440" w:rsidRPr="00504440" w:rsidRDefault="00504440" w:rsidP="00D1674B">
      <w:pPr>
        <w:tabs>
          <w:tab w:val="left" w:pos="3600"/>
          <w:tab w:val="left" w:pos="6480"/>
        </w:tabs>
        <w:rPr>
          <w:b/>
        </w:rPr>
      </w:pPr>
      <w:r w:rsidRPr="00504440">
        <w:rPr>
          <w:b/>
        </w:rPr>
        <w:t xml:space="preserve">Geographic Areas of </w:t>
      </w:r>
      <w:r>
        <w:rPr>
          <w:b/>
        </w:rPr>
        <w:t xml:space="preserve">Primary </w:t>
      </w:r>
      <w:r w:rsidRPr="00504440">
        <w:rPr>
          <w:b/>
        </w:rPr>
        <w:t>Expertise</w:t>
      </w:r>
    </w:p>
    <w:p w14:paraId="16071F8B" w14:textId="77777777" w:rsidR="00E440FF" w:rsidRDefault="00E440FF" w:rsidP="00E440FF"/>
    <w:p w14:paraId="1DB8E506" w14:textId="3D4D9E6A" w:rsidR="00504440" w:rsidRDefault="00504440" w:rsidP="00E440FF">
      <w:r>
        <w:t>Jim Ellis-Jones</w:t>
      </w:r>
      <w:r>
        <w:tab/>
      </w:r>
      <w:r w:rsidR="006C297C">
        <w:t>East and Southern Africa,</w:t>
      </w:r>
      <w:r w:rsidR="006C297C" w:rsidRPr="006C297C">
        <w:t xml:space="preserve"> </w:t>
      </w:r>
      <w:r w:rsidR="006C297C">
        <w:t>Ethiopia, West Africa,</w:t>
      </w:r>
    </w:p>
    <w:p w14:paraId="05141E98" w14:textId="082ACA04" w:rsidR="00504440" w:rsidRDefault="00504440" w:rsidP="00E440FF">
      <w:r>
        <w:t>Eva Weltzien</w:t>
      </w:r>
      <w:r>
        <w:tab/>
      </w:r>
      <w:r>
        <w:tab/>
        <w:t>West Africa</w:t>
      </w:r>
    </w:p>
    <w:p w14:paraId="3E381282" w14:textId="0587D5F5" w:rsidR="00504440" w:rsidRDefault="00504440" w:rsidP="00E440FF">
      <w:r>
        <w:t>Moses Tenywa</w:t>
      </w:r>
      <w:r>
        <w:tab/>
        <w:t>Tanzania, Ethiopia</w:t>
      </w:r>
    </w:p>
    <w:p w14:paraId="1D9202F3" w14:textId="5F2B8308" w:rsidR="00504440" w:rsidRDefault="00504440" w:rsidP="00E440FF">
      <w:r>
        <w:t>Brigitte Maass</w:t>
      </w:r>
      <w:r>
        <w:tab/>
        <w:t>Tanzania, Ethiopia</w:t>
      </w:r>
    </w:p>
    <w:p w14:paraId="4727DBE4" w14:textId="1D95E969" w:rsidR="00504440" w:rsidRDefault="00504440" w:rsidP="00E440FF">
      <w:r>
        <w:t>Colletah Chitsike</w:t>
      </w:r>
      <w:r>
        <w:tab/>
        <w:t>Zambia, Malawi</w:t>
      </w:r>
    </w:p>
    <w:p w14:paraId="234EB581" w14:textId="3BFD1A94" w:rsidR="00504440" w:rsidRDefault="00504440" w:rsidP="00E440FF">
      <w:r>
        <w:t>Nancy McCarthy</w:t>
      </w:r>
      <w:r>
        <w:tab/>
        <w:t>Zambia, Malawi</w:t>
      </w:r>
    </w:p>
    <w:p w14:paraId="1EE7C1A8" w14:textId="77777777" w:rsidR="00504440" w:rsidRDefault="00504440" w:rsidP="00E440FF"/>
    <w:p w14:paraId="77F183B8" w14:textId="77777777" w:rsidR="00504440" w:rsidRDefault="00504440" w:rsidP="00E440FF"/>
    <w:p w14:paraId="2A51E041" w14:textId="2540F08C" w:rsidR="00E440FF" w:rsidRDefault="00F21534" w:rsidP="00E440FF">
      <w:r>
        <w:t xml:space="preserve">Minutes by Nancy McCarthy </w:t>
      </w:r>
    </w:p>
    <w:sectPr w:rsidR="00E440FF" w:rsidSect="000358AA">
      <w:footerReference w:type="default" r:id="rId8"/>
      <w:pgSz w:w="12240" w:h="15840"/>
      <w:pgMar w:top="993"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9EB97D" w14:textId="77777777" w:rsidR="00531EC1" w:rsidRDefault="00531EC1" w:rsidP="00D3780C">
      <w:r>
        <w:separator/>
      </w:r>
    </w:p>
  </w:endnote>
  <w:endnote w:type="continuationSeparator" w:id="0">
    <w:p w14:paraId="2DA28DC5" w14:textId="77777777" w:rsidR="00531EC1" w:rsidRDefault="00531EC1" w:rsidP="00D378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9817979"/>
      <w:docPartObj>
        <w:docPartGallery w:val="Page Numbers (Bottom of Page)"/>
        <w:docPartUnique/>
      </w:docPartObj>
    </w:sdtPr>
    <w:sdtEndPr>
      <w:rPr>
        <w:noProof/>
      </w:rPr>
    </w:sdtEndPr>
    <w:sdtContent>
      <w:p w14:paraId="1976AB70" w14:textId="05C75E7C" w:rsidR="001F6DC1" w:rsidRDefault="001F6DC1">
        <w:pPr>
          <w:pStyle w:val="Footer"/>
          <w:jc w:val="center"/>
        </w:pPr>
        <w:r>
          <w:fldChar w:fldCharType="begin"/>
        </w:r>
        <w:r>
          <w:instrText xml:space="preserve"> PAGE   \* MERGEFORMAT </w:instrText>
        </w:r>
        <w:r>
          <w:fldChar w:fldCharType="separate"/>
        </w:r>
        <w:r w:rsidR="00531EC1">
          <w:rPr>
            <w:noProof/>
          </w:rPr>
          <w:t>1</w:t>
        </w:r>
        <w:r>
          <w:rPr>
            <w:noProof/>
          </w:rPr>
          <w:fldChar w:fldCharType="end"/>
        </w:r>
      </w:p>
    </w:sdtContent>
  </w:sdt>
  <w:p w14:paraId="7076CE1A" w14:textId="77777777" w:rsidR="00D3780C" w:rsidRDefault="00D3780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90862D" w14:textId="77777777" w:rsidR="00531EC1" w:rsidRDefault="00531EC1" w:rsidP="00D3780C">
      <w:r>
        <w:separator/>
      </w:r>
    </w:p>
  </w:footnote>
  <w:footnote w:type="continuationSeparator" w:id="0">
    <w:p w14:paraId="3DC5582B" w14:textId="77777777" w:rsidR="00531EC1" w:rsidRDefault="00531EC1" w:rsidP="00D378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A66B0F"/>
    <w:multiLevelType w:val="hybridMultilevel"/>
    <w:tmpl w:val="73D6599E"/>
    <w:lvl w:ilvl="0" w:tplc="04090019">
      <w:start w:val="1"/>
      <w:numFmt w:val="lowerLetter"/>
      <w:lvlText w:val="%1."/>
      <w:lvlJc w:val="left"/>
      <w:pPr>
        <w:ind w:left="1353" w:hanging="360"/>
      </w:p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
    <w:nsid w:val="2309460A"/>
    <w:multiLevelType w:val="hybridMultilevel"/>
    <w:tmpl w:val="9170F7EA"/>
    <w:lvl w:ilvl="0" w:tplc="04090019">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8365E83"/>
    <w:multiLevelType w:val="hybridMultilevel"/>
    <w:tmpl w:val="A3AEDC4A"/>
    <w:lvl w:ilvl="0" w:tplc="B2200B3A">
      <w:start w:val="1"/>
      <w:numFmt w:val="decimal"/>
      <w:lvlText w:val="%1."/>
      <w:lvlJc w:val="left"/>
      <w:pPr>
        <w:ind w:left="720" w:hanging="360"/>
      </w:pPr>
      <w:rPr>
        <w:rFonts w:hint="default"/>
        <w:b/>
      </w:rPr>
    </w:lvl>
    <w:lvl w:ilvl="1" w:tplc="04090019">
      <w:start w:val="1"/>
      <w:numFmt w:val="lowerLetter"/>
      <w:lvlText w:val="%2."/>
      <w:lvlJc w:val="left"/>
      <w:pPr>
        <w:ind w:left="1353"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94A263C"/>
    <w:multiLevelType w:val="hybridMultilevel"/>
    <w:tmpl w:val="301C0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A732AF7"/>
    <w:multiLevelType w:val="hybridMultilevel"/>
    <w:tmpl w:val="73D6599E"/>
    <w:lvl w:ilvl="0" w:tplc="04090019">
      <w:start w:val="1"/>
      <w:numFmt w:val="lowerLetter"/>
      <w:lvlText w:val="%1."/>
      <w:lvlJc w:val="left"/>
      <w:pPr>
        <w:ind w:left="1353" w:hanging="360"/>
      </w:p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5">
    <w:nsid w:val="30834F16"/>
    <w:multiLevelType w:val="hybridMultilevel"/>
    <w:tmpl w:val="A120BCE6"/>
    <w:lvl w:ilvl="0" w:tplc="C054F570">
      <w:start w:val="1"/>
      <w:numFmt w:val="decimal"/>
      <w:lvlText w:val="%1"/>
      <w:lvlJc w:val="left"/>
      <w:pPr>
        <w:ind w:left="1080" w:hanging="720"/>
      </w:pPr>
    </w:lvl>
    <w:lvl w:ilvl="1" w:tplc="943401A2">
      <w:start w:val="1"/>
      <w:numFmt w:val="bullet"/>
      <w:lvlText w:val="­"/>
      <w:lvlJc w:val="left"/>
      <w:pPr>
        <w:ind w:left="1440" w:hanging="360"/>
      </w:pPr>
      <w:rPr>
        <w:rFonts w:ascii="Courier New" w:hAnsi="Courier New" w:cs="Times New Roman"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nsid w:val="3512366A"/>
    <w:multiLevelType w:val="hybridMultilevel"/>
    <w:tmpl w:val="73D6599E"/>
    <w:lvl w:ilvl="0" w:tplc="04090019">
      <w:start w:val="1"/>
      <w:numFmt w:val="lowerLetter"/>
      <w:lvlText w:val="%1."/>
      <w:lvlJc w:val="left"/>
      <w:pPr>
        <w:ind w:left="1353" w:hanging="360"/>
      </w:p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7">
    <w:nsid w:val="5172568F"/>
    <w:multiLevelType w:val="hybridMultilevel"/>
    <w:tmpl w:val="1376D702"/>
    <w:lvl w:ilvl="0" w:tplc="14CAD126">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52C0B38"/>
    <w:multiLevelType w:val="hybridMultilevel"/>
    <w:tmpl w:val="73D6599E"/>
    <w:lvl w:ilvl="0" w:tplc="04090019">
      <w:start w:val="1"/>
      <w:numFmt w:val="lowerLetter"/>
      <w:lvlText w:val="%1."/>
      <w:lvlJc w:val="left"/>
      <w:pPr>
        <w:ind w:left="1353" w:hanging="360"/>
      </w:p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9">
    <w:nsid w:val="713A1F30"/>
    <w:multiLevelType w:val="hybridMultilevel"/>
    <w:tmpl w:val="73D6599E"/>
    <w:lvl w:ilvl="0" w:tplc="04090019">
      <w:start w:val="1"/>
      <w:numFmt w:val="lowerLetter"/>
      <w:lvlText w:val="%1."/>
      <w:lvlJc w:val="left"/>
      <w:pPr>
        <w:ind w:left="1353" w:hanging="360"/>
      </w:p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0">
    <w:nsid w:val="766D79C6"/>
    <w:multiLevelType w:val="hybridMultilevel"/>
    <w:tmpl w:val="73D6599E"/>
    <w:lvl w:ilvl="0" w:tplc="04090019">
      <w:start w:val="1"/>
      <w:numFmt w:val="lowerLetter"/>
      <w:lvlText w:val="%1."/>
      <w:lvlJc w:val="left"/>
      <w:pPr>
        <w:ind w:left="1353" w:hanging="360"/>
      </w:p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num w:numId="1">
    <w:abstractNumId w:val="2"/>
  </w:num>
  <w:num w:numId="2">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3"/>
  </w:num>
  <w:num w:numId="5">
    <w:abstractNumId w:val="7"/>
  </w:num>
  <w:num w:numId="6">
    <w:abstractNumId w:val="1"/>
  </w:num>
  <w:num w:numId="7">
    <w:abstractNumId w:val="6"/>
  </w:num>
  <w:num w:numId="8">
    <w:abstractNumId w:val="4"/>
  </w:num>
  <w:num w:numId="9">
    <w:abstractNumId w:val="9"/>
  </w:num>
  <w:num w:numId="10">
    <w:abstractNumId w:val="0"/>
  </w:num>
  <w:num w:numId="11">
    <w:abstractNumId w:val="1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CDA"/>
    <w:rsid w:val="000358AA"/>
    <w:rsid w:val="00067CA0"/>
    <w:rsid w:val="000A621F"/>
    <w:rsid w:val="0012493D"/>
    <w:rsid w:val="001415CB"/>
    <w:rsid w:val="001428ED"/>
    <w:rsid w:val="001940AD"/>
    <w:rsid w:val="001F6DC1"/>
    <w:rsid w:val="002610B0"/>
    <w:rsid w:val="002D09E9"/>
    <w:rsid w:val="00384D8A"/>
    <w:rsid w:val="00462365"/>
    <w:rsid w:val="004E7CEE"/>
    <w:rsid w:val="00504440"/>
    <w:rsid w:val="00531EC1"/>
    <w:rsid w:val="006C297C"/>
    <w:rsid w:val="00880FE3"/>
    <w:rsid w:val="009168B2"/>
    <w:rsid w:val="00BE01FA"/>
    <w:rsid w:val="00C0748D"/>
    <w:rsid w:val="00C11749"/>
    <w:rsid w:val="00D1674B"/>
    <w:rsid w:val="00D3780C"/>
    <w:rsid w:val="00D46332"/>
    <w:rsid w:val="00E073A9"/>
    <w:rsid w:val="00E2202B"/>
    <w:rsid w:val="00E440FF"/>
    <w:rsid w:val="00F21534"/>
    <w:rsid w:val="00F71C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6DC01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1CDA"/>
    <w:pPr>
      <w:ind w:left="720"/>
      <w:contextualSpacing/>
    </w:pPr>
  </w:style>
  <w:style w:type="paragraph" w:styleId="BalloonText">
    <w:name w:val="Balloon Text"/>
    <w:basedOn w:val="Normal"/>
    <w:link w:val="BalloonTextChar"/>
    <w:uiPriority w:val="99"/>
    <w:semiHidden/>
    <w:unhideWhenUsed/>
    <w:rsid w:val="00BE01FA"/>
    <w:rPr>
      <w:rFonts w:ascii="Tahoma" w:hAnsi="Tahoma" w:cs="Tahoma"/>
      <w:sz w:val="16"/>
      <w:szCs w:val="16"/>
    </w:rPr>
  </w:style>
  <w:style w:type="character" w:customStyle="1" w:styleId="BalloonTextChar">
    <w:name w:val="Balloon Text Char"/>
    <w:basedOn w:val="DefaultParagraphFont"/>
    <w:link w:val="BalloonText"/>
    <w:uiPriority w:val="99"/>
    <w:semiHidden/>
    <w:rsid w:val="00BE01FA"/>
    <w:rPr>
      <w:rFonts w:ascii="Tahoma" w:hAnsi="Tahoma" w:cs="Tahoma"/>
      <w:sz w:val="16"/>
      <w:szCs w:val="16"/>
    </w:rPr>
  </w:style>
  <w:style w:type="table" w:styleId="TableGrid">
    <w:name w:val="Table Grid"/>
    <w:basedOn w:val="TableNormal"/>
    <w:uiPriority w:val="59"/>
    <w:rsid w:val="00BE01FA"/>
    <w:rPr>
      <w:rFonts w:eastAsiaTheme="minorHAnsi"/>
      <w:sz w:val="22"/>
      <w:szCs w:val="22"/>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3780C"/>
    <w:pPr>
      <w:tabs>
        <w:tab w:val="center" w:pos="4513"/>
        <w:tab w:val="right" w:pos="9026"/>
      </w:tabs>
    </w:pPr>
  </w:style>
  <w:style w:type="character" w:customStyle="1" w:styleId="HeaderChar">
    <w:name w:val="Header Char"/>
    <w:basedOn w:val="DefaultParagraphFont"/>
    <w:link w:val="Header"/>
    <w:uiPriority w:val="99"/>
    <w:rsid w:val="00D3780C"/>
  </w:style>
  <w:style w:type="paragraph" w:styleId="Footer">
    <w:name w:val="footer"/>
    <w:basedOn w:val="Normal"/>
    <w:link w:val="FooterChar"/>
    <w:uiPriority w:val="99"/>
    <w:unhideWhenUsed/>
    <w:rsid w:val="00D3780C"/>
    <w:pPr>
      <w:tabs>
        <w:tab w:val="center" w:pos="4513"/>
        <w:tab w:val="right" w:pos="9026"/>
      </w:tabs>
    </w:pPr>
  </w:style>
  <w:style w:type="character" w:customStyle="1" w:styleId="FooterChar">
    <w:name w:val="Footer Char"/>
    <w:basedOn w:val="DefaultParagraphFont"/>
    <w:link w:val="Footer"/>
    <w:uiPriority w:val="99"/>
    <w:rsid w:val="00D3780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1CDA"/>
    <w:pPr>
      <w:ind w:left="720"/>
      <w:contextualSpacing/>
    </w:pPr>
  </w:style>
  <w:style w:type="paragraph" w:styleId="BalloonText">
    <w:name w:val="Balloon Text"/>
    <w:basedOn w:val="Normal"/>
    <w:link w:val="BalloonTextChar"/>
    <w:uiPriority w:val="99"/>
    <w:semiHidden/>
    <w:unhideWhenUsed/>
    <w:rsid w:val="00BE01FA"/>
    <w:rPr>
      <w:rFonts w:ascii="Tahoma" w:hAnsi="Tahoma" w:cs="Tahoma"/>
      <w:sz w:val="16"/>
      <w:szCs w:val="16"/>
    </w:rPr>
  </w:style>
  <w:style w:type="character" w:customStyle="1" w:styleId="BalloonTextChar">
    <w:name w:val="Balloon Text Char"/>
    <w:basedOn w:val="DefaultParagraphFont"/>
    <w:link w:val="BalloonText"/>
    <w:uiPriority w:val="99"/>
    <w:semiHidden/>
    <w:rsid w:val="00BE01FA"/>
    <w:rPr>
      <w:rFonts w:ascii="Tahoma" w:hAnsi="Tahoma" w:cs="Tahoma"/>
      <w:sz w:val="16"/>
      <w:szCs w:val="16"/>
    </w:rPr>
  </w:style>
  <w:style w:type="table" w:styleId="TableGrid">
    <w:name w:val="Table Grid"/>
    <w:basedOn w:val="TableNormal"/>
    <w:uiPriority w:val="59"/>
    <w:rsid w:val="00BE01FA"/>
    <w:rPr>
      <w:rFonts w:eastAsiaTheme="minorHAnsi"/>
      <w:sz w:val="22"/>
      <w:szCs w:val="22"/>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3780C"/>
    <w:pPr>
      <w:tabs>
        <w:tab w:val="center" w:pos="4513"/>
        <w:tab w:val="right" w:pos="9026"/>
      </w:tabs>
    </w:pPr>
  </w:style>
  <w:style w:type="character" w:customStyle="1" w:styleId="HeaderChar">
    <w:name w:val="Header Char"/>
    <w:basedOn w:val="DefaultParagraphFont"/>
    <w:link w:val="Header"/>
    <w:uiPriority w:val="99"/>
    <w:rsid w:val="00D3780C"/>
  </w:style>
  <w:style w:type="paragraph" w:styleId="Footer">
    <w:name w:val="footer"/>
    <w:basedOn w:val="Normal"/>
    <w:link w:val="FooterChar"/>
    <w:uiPriority w:val="99"/>
    <w:unhideWhenUsed/>
    <w:rsid w:val="00D3780C"/>
    <w:pPr>
      <w:tabs>
        <w:tab w:val="center" w:pos="4513"/>
        <w:tab w:val="right" w:pos="9026"/>
      </w:tabs>
    </w:pPr>
  </w:style>
  <w:style w:type="character" w:customStyle="1" w:styleId="FooterChar">
    <w:name w:val="Footer Char"/>
    <w:basedOn w:val="DefaultParagraphFont"/>
    <w:link w:val="Footer"/>
    <w:uiPriority w:val="99"/>
    <w:rsid w:val="00D378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713347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949</Words>
  <Characters>5410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Nancy McCarthy</dc:creator>
  <cp:lastModifiedBy>Jim Ellis-Jones</cp:lastModifiedBy>
  <cp:revision>3</cp:revision>
  <dcterms:created xsi:type="dcterms:W3CDTF">2017-07-04T09:42:00Z</dcterms:created>
  <dcterms:modified xsi:type="dcterms:W3CDTF">2017-07-08T17:30:00Z</dcterms:modified>
</cp:coreProperties>
</file>